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OG V 23 36 vom 23. Januar 2024</w:t>
      </w:r>
    </w:p>
    <w:p>
      <w:r>
        <w:t>UR Obergericht, 2024-01-23, DE</w:t>
      </w:r>
    </w:p>
    <w:p>
      <w:r>
        <w:rPr>
          <w:b/>
        </w:rPr>
        <w:t xml:space="preserve">Quelle: </w:t>
      </w:r>
      <w:r>
        <w:t>https://mcp.opencaselaw.ch/entscheid/ur_gerichte_OG V 23 36</w:t>
      </w:r>
    </w:p>
    <w:p>
      <w:r>
        <w:t>FR: UR_GERICHTE OG V 23 36 du 23 janvier 2024</w:t>
      </w:r>
    </w:p>
    <w:p>
      <w:r>
        <w:t>IT: UR_GERICHTE OG V 23 36 del 23 gennaio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10 Abs. 2 Reglement zum Bundesgesetz über die Ausländerinnen und Ausländer und über die Integration und zum Asylgesetz (RB 1.4221; nachfolgend Regl.) kann ein Einspracheentscheid des Amtes für Arbeit und Migration Uri direkt mit Verwaltungsgerichtsbeschwerde beim Obergericht des Kantons Uri (Verwaltungsrechtliche Abteilung) angefochten werden. Im Übrigen gelten die Be- stimmungen der Verordnung über die Verwaltungsrechtspflege (VRPV, RB 2.2345) (Art. 10 Abs. 3 Regl.). Ist eine Verfügung durch ein ordentliches Rechtsmittel angefochten, kann die verfügende Be- hörde diese in jedem Fall ändern oder widerrufen, bis die Rechtsmittelinstanz ihren Entscheid eröffnet hat (Art. 27 Abs. 2 VRPV). Gemeint ist hier nicht das Zurückkommen auf eine formell rechtkräftige Verfügung, sondern die Rücknahme einer angefochtenen, formell noch nicht rechtskräftigen Verfü- gung und deren Ersetzung durch eine neue Verfügung während eines hängigen Beschwerdeverfah- rens. Die Bestimmung will der Behörde erlauben, eine erkannte Fehlleistung durch eine neue Verfü- gung zu beheben, bevor die Beschwerdebehörde entsprechend entscheidet (vgl. analoge Bestimmung von Art. 58 Bundesgesetz über das Verwaltungsverfahren [VwVG, SR 172.021]: Tschannen/Zim- merli/Müller, Allgemeines Verwaltungsrecht, 3. Aufl., Bern 2009, § 31 Rz.23). Die Behörde eröffnet in der Folge ohne Verzug eine neue Verfügung und bringt sie alsdann den Parteien und der Beschwer- deinstanz zur Kenntnis (Art. 58 Abs. 2 VwVG analog). Die Beschwerdeinstanz setzt die Behandlung der Beschwerde fort, soweit diese durch die neue Verfügung der Vorinstanz nicht gegenstandslos gewor- den ist (Art. 58 Abs. 3 erster Halbsatz VwVG analog). Die Vorinstanz hat mit Datum vom 16. November 2023 (Eingang beim Gericht am 12. Januar 2024) eine neue Verfügung erlassen, den Einspracheent- scheid vom 4. September 2023 in Wiedererwägung gezogen und die Aufenthaltsbewilligung B VZAE der Beschwerdeführerin verlängert sowie deren Wegweisung aufgehoben. Damit wurde den Haupt- begehren der Verwaltungsgerichtsbeschwerde entsprochen. Das vorliegende Verfahren ist gegen- standslos geworden und kann am Geschäftsprotokoll abgeschrieben werden.</w:t>
      </w:r>
    </w:p>
    <w:p>
      <w:r>
        <w:rPr>
          <w:b/>
        </w:rPr>
        <w:t>E. 1.2</w:t>
      </w:r>
    </w:p>
    <w:p>
      <w:r>
        <w:t>Prozessentscheide ohne Sachurteil fallen in die Zuständigkeit der Vorsitzenden der Abteilung (Art. 37g i.V.m. Art. 25a Abs. 3 lit. b GOG).</w:t>
      </w:r>
    </w:p>
    <w:p>
      <w:r>
        <w:rPr>
          <w:b/>
        </w:rPr>
        <w:t>E. 2.1</w:t>
      </w:r>
    </w:p>
    <w:p>
      <w:r>
        <w:t>Nachdem die Vorinstanz den Einspracheentscheid in Wiedererwägung gezogen und den Begeh- ren der Beschwerdeführerin vollständig entsprochen hat, ist sie kosten- und entschädigungsrechtlich als obsiegend zu betrachten. Die Beschwerdeführerin wird dementsprechend nicht kostenpflichtig (Art. 34 Abs. 1 lit. b e contrario, Art. 32 VRPV). Unterliegenden Instanzen werden in der Regel keine amtlichen Kosten auferlegt (Art. 34 Abs. 3 VRPV). Die amtlichen Kosten sind der Staatskasse</w:t>
      </w:r>
    </w:p>
    <w:p>
      <w:r>
        <w:t>Seite 4 von 5 aufzuerlegen. Nach Praxis des Gerichts beträgt die Spruchgebühr für eine Angelegenheit mittlerer Komplexität in tatsächlicher und rechtlicher Hinsicht CHF 2'750.00 (Art. 32 Abs. 2 VRPV, Art. 27 Abs. 2 lit. a Verordnung über die Gebühren und Entschädigungen vor Gerichtsbehörden [Gerichtsgebühren- verordnung, GGebV, RB 2.3231] i.V.m. Art. 20 Abs. 1 und Art. 25 Abs. 1 Reglement über die Gebühren und Entschädigungen vor Gerichtsbehörden [Gerichtsgebührenreglement, GGebR, RB 2.3232]). Diese Gebühr ist aufgrund des geringen gerichtlichen Aufwands, aber der Bedeutung für die Beschwerdefüh- rerin auf CHF 1'000.00 zuzüglich Barauslagen (pauschal; Art. 25 Abs. 2 GGebR) festzusetzen. Der von der Beschwerdeführerin geleistete Gerichtkostenvorschuss wird dieser zurückerstattet.</w:t>
      </w:r>
    </w:p>
    <w:p>
      <w:r>
        <w:rPr>
          <w:b/>
        </w:rPr>
        <w:t>E. 2.2</w:t>
      </w:r>
    </w:p>
    <w:p>
      <w:r>
        <w:t>Die anwaltlich vertretene Beschwerdeführerin hat Anspruch auf angemessene Parteientschädi- gung (Art. 37 Abs. 2 VRPV). Die Parteientschädigung in einer Angelegenheit mittlerer Komplexität in tatsächlicher und rechtlicher Hinsicht ist praxisgemäss auf CHF 2'750.00 (inklusive Mehrwertsteuer) festzulegen (Art. 32 Abs. 1 GGebR). Die Parteientschädigung wird gestützt auf den mutmasslichen Auf- wand auf CHF 1'500.00 festgesetzt. Die Parteientschädigung geht zulasten der Vorinstanz (Art. 37 Abs.</w:t>
      </w:r>
    </w:p>
    <w:p>
      <w:r>
        <w:rPr>
          <w:b/>
        </w:rPr>
        <w:t>E. 3</w:t>
      </w:r>
    </w:p>
    <w:p>
      <w:r>
        <w:t>VRPV). Die Vorinstanz als hoheitlich handelnde staatliche Instanz hat praxisgemäss keinen Anspruch auf Parteientschädigung (Entscheide Obergericht des Kantons Uri vom 10.06.2016, OG V 15 17, E. 11b, vom 07.01.2000, OG V 99 53, E. 6 und vom 16.04.1999, OG V 99 24, E. 3b).</w:t>
      </w:r>
    </w:p>
    <w:p>
      <w:r>
        <w:t>Seite 5 von 5 Das Obergericht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